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Первого заместителя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 xml:space="preserve">действующего на основании доверенности </w:t>
      </w:r>
      <w:r w:rsidR="00FB68AE" w:rsidRPr="00FB68A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30622" w:rsidRPr="00E30622">
        <w:rPr>
          <w:rFonts w:ascii="Times New Roman" w:hAnsi="Times New Roman" w:cs="Times New Roman"/>
          <w:sz w:val="24"/>
          <w:szCs w:val="24"/>
          <w:u w:val="single"/>
        </w:rPr>
        <w:t>276 от 01.10.2018 г.</w:t>
      </w:r>
      <w:r w:rsidR="00E30622">
        <w:rPr>
          <w:rFonts w:ascii="Times New Roman" w:hAnsi="Times New Roman" w:cs="Times New Roman"/>
          <w:sz w:val="24"/>
          <w:szCs w:val="24"/>
          <w:u w:val="single"/>
        </w:rPr>
        <w:t>,</w:t>
      </w:r>
      <w:bookmarkStart w:id="0" w:name="_GoBack"/>
      <w:bookmarkEnd w:id="0"/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Технология </w:t>
      </w:r>
      <w:r w:rsidR="00BA22AC">
        <w:rPr>
          <w:rFonts w:ascii="Times New Roman" w:hAnsi="Times New Roman" w:cs="Times New Roman"/>
          <w:b/>
          <w:sz w:val="24"/>
          <w:szCs w:val="24"/>
          <w:u w:val="single"/>
        </w:rPr>
        <w:t>эффективной презентации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программе:__16_____часов.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BA22AC">
        <w:rPr>
          <w:rFonts w:ascii="Times New Roman" w:hAnsi="Times New Roman" w:cs="Times New Roman"/>
          <w:sz w:val="24"/>
          <w:szCs w:val="24"/>
        </w:rPr>
        <w:t>7</w:t>
      </w:r>
      <w:r w:rsidR="006C6EE8">
        <w:rPr>
          <w:rFonts w:ascii="Times New Roman" w:hAnsi="Times New Roman" w:cs="Times New Roman"/>
          <w:sz w:val="24"/>
          <w:szCs w:val="24"/>
        </w:rPr>
        <w:t>000 (</w:t>
      </w:r>
      <w:r w:rsidR="00BA22AC">
        <w:rPr>
          <w:rFonts w:ascii="Times New Roman" w:hAnsi="Times New Roman" w:cs="Times New Roman"/>
          <w:sz w:val="24"/>
          <w:szCs w:val="24"/>
        </w:rPr>
        <w:t>Семь тысяч</w:t>
      </w:r>
      <w:r w:rsidR="006C6EE8">
        <w:rPr>
          <w:rFonts w:ascii="Times New Roman" w:hAnsi="Times New Roman" w:cs="Times New Roman"/>
          <w:sz w:val="24"/>
          <w:szCs w:val="24"/>
        </w:rPr>
        <w:t>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</w:t>
            </w:r>
            <w:r w:rsidR="00FB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B5" w:rsidRDefault="009D2FB5" w:rsidP="009D3E19">
      <w:pPr>
        <w:spacing w:after="0" w:line="240" w:lineRule="auto"/>
      </w:pPr>
      <w:r>
        <w:separator/>
      </w:r>
    </w:p>
  </w:endnote>
  <w:endnote w:type="continuationSeparator" w:id="0">
    <w:p w:rsidR="009D2FB5" w:rsidRDefault="009D2FB5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622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B5" w:rsidRDefault="009D2FB5" w:rsidP="009D3E19">
      <w:pPr>
        <w:spacing w:after="0" w:line="240" w:lineRule="auto"/>
      </w:pPr>
      <w:r>
        <w:separator/>
      </w:r>
    </w:p>
  </w:footnote>
  <w:footnote w:type="continuationSeparator" w:id="0">
    <w:p w:rsidR="009D2FB5" w:rsidRDefault="009D2FB5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690551"/>
    <w:rsid w:val="006C6EE8"/>
    <w:rsid w:val="0073664C"/>
    <w:rsid w:val="0087046F"/>
    <w:rsid w:val="008B2174"/>
    <w:rsid w:val="009610A9"/>
    <w:rsid w:val="009D2FB5"/>
    <w:rsid w:val="009D3E19"/>
    <w:rsid w:val="00B76146"/>
    <w:rsid w:val="00BA22AC"/>
    <w:rsid w:val="00C16192"/>
    <w:rsid w:val="00CB6437"/>
    <w:rsid w:val="00CB795D"/>
    <w:rsid w:val="00D41C77"/>
    <w:rsid w:val="00DE2DDE"/>
    <w:rsid w:val="00E30622"/>
    <w:rsid w:val="00E54BBA"/>
    <w:rsid w:val="00E665B7"/>
    <w:rsid w:val="00E81A5F"/>
    <w:rsid w:val="00F30ED7"/>
    <w:rsid w:val="00F85663"/>
    <w:rsid w:val="00F955BA"/>
    <w:rsid w:val="00FB68AE"/>
    <w:rsid w:val="00FC258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2017-12-18T07:37:00Z</cp:lastPrinted>
  <dcterms:created xsi:type="dcterms:W3CDTF">2017-11-02T08:02:00Z</dcterms:created>
  <dcterms:modified xsi:type="dcterms:W3CDTF">2018-10-24T10:14:00Z</dcterms:modified>
</cp:coreProperties>
</file>